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附件2：</w:t>
      </w:r>
    </w:p>
    <w:p w14:paraId="1D33FA27">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6E106AD4">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06DF3DD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3D54B155">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bookmarkStart w:id="0" w:name="_GoBack"/>
      <w:bookmarkEnd w:id="0"/>
    </w:p>
    <w:p w14:paraId="7523DB4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B9F0A2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1F5472C6">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14:paraId="05C3E73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78A78FB">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14:paraId="26501804">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69B61B5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A43697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5731CF0C">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2CE0F0E1">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4C85A25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3DB1725E">
      <w:pPr>
        <w:spacing w:line="540" w:lineRule="exact"/>
        <w:rPr>
          <w:rFonts w:hAnsi="宋体" w:eastAsia="仿宋_GB2312" w:cs="宋体"/>
          <w:color w:val="000000" w:themeColor="text1"/>
          <w:kern w:val="0"/>
          <w:sz w:val="30"/>
          <w:szCs w:val="30"/>
          <w14:textFill>
            <w14:solidFill>
              <w14:schemeClr w14:val="tx1"/>
            </w14:solidFill>
          </w14:textFill>
        </w:rPr>
      </w:pPr>
    </w:p>
    <w:p w14:paraId="5B7D51AB">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14:paraId="71B2FEEF">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乌财科教【2022】67号、75号-关于提前下达2023年自治区教育直达资金预算的通知</w:t>
      </w:r>
    </w:p>
    <w:p w14:paraId="7AEB13A7">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第99中学</w:t>
      </w:r>
    </w:p>
    <w:p w14:paraId="275DDF30">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第99中学</w:t>
      </w:r>
    </w:p>
    <w:p w14:paraId="5747EF1B">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白金云</w:t>
      </w:r>
    </w:p>
    <w:p w14:paraId="7DACC143">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2024年05月17日</w:t>
      </w:r>
    </w:p>
    <w:p w14:paraId="677F1B1A">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14:paraId="123FA6B7">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14:paraId="2EEB6E08">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18E9018D">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p>
    <w:p w14:paraId="3DED2D21">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（一）项目概况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项目背景、主要内容及实施情况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实施背景：根据乌财科教【2022】75号，【2022】67号关于提前下达2023年城乡义务教育项目直达资金的通知，设立公用经费--关于提前下达2023年自治区教育直达资金预算的通知项目，自实施农村义务教育经费保障机制改革以来，义务教育逐步纳入公共财政保障范围，城乡免费义务教育全面实现，稳定增长的经费保障机制基本建立，九年义务教育全面普及，县域内义务教育均衡发展水平不断提高。但随着我国新型城镇化建设和户籍制度改革不断推进，在整合农村义务教育经费保障机制和城市义务教育奖补政策的基础上，建立城乡统一、重在农村的义务教育经费保障机制，这有利于推动省级政府统筹教育改革，优化教育布局，实现城乡义务教育在更高层次的均衡发展，促进教育公平、提高教育质量；有利于深化财税体制改革，推动实现财政转移支付同农业转移人口市民化挂钩，促进劳动力合理流动，推动经济结构调整和产业转型升级；有利于促进基本公共服务均等化，构建社会主义和谐社会，建设人力资源强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2023年的主要实施内容：完成新招聘教师的岗前培训，完成所有教师“六五”周期的继续教育和各级各类部门所要求的教师培训业务，提高教师的教育教学业务水平和自身素养，从而推动我校的办学水平有效提高。保障学校水、电、暖、电话和网络的正常运行，为开展学校正常的教育教学和工作提供必要的重要条件，使师生能安心、舒适的工伤学习。完成校园绿化，板面设计等为创建文明校园必要条件提供保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2023年当年完成情况：实际完成情况：①、完成了12名教师的班主任、名师、安全等方面的培训，提高了教师的业务能力，带动了全体教师工作积极性，有效改善了我单位的整体教育教学水平；②、保障学校水、电、暖、电话费、网络等的正常运转，安装了55个点位的班班通网，进行了煤改气工程，极大地提高的办公环境；③、对学校设施设备进行维修维护，电脑耗材、网络维修、净水器粗略统计不少于15次，栽种14箱的箱装式花卉，种植两个花草绿化田面积约1300平方米；修剪校园枯木一次等事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资金投入情况：经乌财科教【2022】75号，【2022】67号关于提前下达2023年城乡义务教育项目直达资金的通知文件批准，设立公用经费，项目系2023年自治区直达资金，年初安排预算39.83万元，上年结转资金19.47万元，共计59.3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（2）该项目资金使用情况：①总预算情况：59.3万元。②用于教师培训学习，根据往年培训情况，计划预算投入2万元，实际执行2.86 万元；为保障学校的正常水电暖、网络等的运转，根据历年数据推算，计划预算投入47万元，实际执行33.49 万元。③用于学校日常零星维修维护服务性支出计划投入10.3万元，实际执行为9.62万元。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综上所述此项目总体预算执行率：77.52%。</w:t>
      </w:r>
    </w:p>
    <w:p w14:paraId="4EE9199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5F877E1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该项目为经常性项目。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该项目总体绩效目标：缩小农村义务教育与城镇义务的差距，建立城乡统—，实现城乡义务教育在更高层次的均衡发展，促进教育公平、提高教育质量。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阶段性目标为：1、是完成新招聘教师的岗前培训，完成所有教师“六五”周期的继续教育和各级各类部门所要求的教师培训业务，提高教师的教育教学业务水平和自身素养。从而推动我校的办学水平有效提高。2、是保障学校水、电、暖、电话和网络的正常运行，为开展学校正常的教育教学和工作提供必要的重要条件，使师生能安心、舒适的工伤学习。3、是完成校园绿化和一些设施设备的维修维护等为创建文明校园必要条件提供保障。</w:t>
      </w:r>
    </w:p>
    <w:p w14:paraId="6BFCEFBA">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61859553">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5CBE7A93">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（一）绩效评价目的、对象和范围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绩效评价完整性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首先，公用经费自治区直达资金这个项目总体要求是整合农村义务教育经费保障机制和城市义务教育奖补的基础上，建立城乡统一，重在农村的义务教育经费保障，守住民生底线，健全城乡义务教育发展一体化，提高农村教育高质量发展，推进义务教育均衡发展，防止农村孩子因贫困辍学，强化了保基本，兜底线，补短板，着力解决农村义务教育发展中存在的突出问题和薄弱环节。根据总体要求学校重点用于保障维护、增设校园教育教学基础设施，改善校园教学及学习环境，购买办公用品，弥补公用取暖经费不足，缴纳水电暖、电话费等公用费用。为师生提供一个良好的工作及学习环境而设立这个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其次，根据公用经费项目的总体要求，我校计划将资金用于用于教师培训；保障学校水、电、暖、电话费、网正常供给；学校设施设备的维修维护等。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这些指标的设立均是根据历年学校正常运转工作需要而设，数据来源于上年会计凭证中公用经费的使用数据。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公用经费（5%教师培训费-初中）乌财科教【2022】67号、75号-关于提前下达2023年自治区教育直达资金预算的通知的实施情况，并考察项目实施过程和效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评价对象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（1）绩效评价的对象：公用经费（5%教师培训费-初中）乌财科教【2022】67号、75号-关于提前下达2023年自治区教育直达资金预算的通知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绩效评价范围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（1）时间范围：2023年1月1日至2023年12月31日。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（2）项目范围：公用经费资金的完成情况、资金投入的运行情况、项目实施后产生的绩效及影响效果。</w:t>
      </w:r>
    </w:p>
    <w:p w14:paraId="1271490C">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1F0C1D90">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（二）绩效评价原则、指标体系、方法及标准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（1）科学公正。绩效评价应当运用科学合理的方法，按照规范的程序，对项目绩效进行客观、公正的反映。</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（4）公开透明。绩效评价结果应依法依规公开，并自觉接受社会监督。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绩效评价指标体系作为衡量绩效目标实现程度的考核工具，一般遵循以下原则：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（1）相关性原则：绩效评价指标应当与绩效目标有直接的联系，能够恰当反映目标的实现程度。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（2）重要性原则：应当优先使用最具评价对象代表性、最能反映评价要求的核心指标。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（3）可比性原则：对同类评价对象要设定共性的绩效评价指标，以便于评价结果可以相互比较。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本项目的评价指标体系建立如表2-1所示。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表2-1 项目支出绩效评价指标体系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指标解释</w:t>
      </w:r>
      <w:r>
        <w:rPr>
          <w:rStyle w:val="18"/>
          <w:rFonts w:hint="eastAsia" w:ascii="楷体" w:hAnsi="楷体" w:eastAsia="楷体"/>
          <w:b w:val="0"/>
          <w:bCs w:val="0"/>
          <w:color w:val="000000" w:themeColor="text1"/>
          <w:spacing w:val="-4"/>
          <w:sz w:val="32"/>
          <w:szCs w:val="32"/>
          <w14:textFill>
            <w14:solidFill>
              <w14:schemeClr w14:val="tx1"/>
            </w14:solidFill>
          </w14:textFill>
        </w:rPr>
        <w:tab/>
        <w:t>指标说明</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t>立项依据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项目立项是否符合法律法规、相关政策、发展规划以及部门职责，用以反映和考核项目立项依据情况。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①项目立项是否符合国家法律法规、国民经济发展规划和相关政策；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②项目立项是否符合行业发展规划和政策要求；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③项目立项是否与部门职责范围相符，属于部门履职所需；</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④项目是否属于公共财政支持范围，是否符合中央、地方事权支出责任划分原则；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⑤项目是否与相关部门同类项目或部门内部相关项目重复。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立项程序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项目申请、设立过程是否符合相关要求，用以反映和考核项目立项的规范情况。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①项目是否按照规定的程序申请设立；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②审批文件、材料是否符合相关要求；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③事前是否已经过必要的可行性研究、专家论证、风险评估、绩效评估、集体决策。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项目所设定的绩效目标是否依据充分，是否符合客观实际，用以反映和考核项目绩效目标与项目实施的相符情况。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（如未设定预算绩效目标，也可考核其他工作任务目标）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①项目是否有绩效目标；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②项目绩效目标与实际工作内容是否具有相关性；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③项目预期产出效益和效果是否符合正常的业绩水平；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④是否与预算确定的项目投资额或资金量相匹配。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t>依据绩效目标设定的绩效指标是否清晰、细化、可衡量等，用以反映和考核项目绩效目标的明细化情况。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①是否将项目绩效目标细化分解为具体的绩效指标；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②是否通过清晰、可衡量的指标值予以体现；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③是否与项目目标任务数或计划数相对应。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t>预算编制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①预算编制是否经过科学论证；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②预算内容与项目内容是否匹配；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③预算额度测算依据是否充分，是否按照标准编制；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④预算确定的项目投资额或资金量是否与工作任务相匹配。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资金分配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①预算资金分配依据是否充分；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②资金分配额度是否合理，与项目单位或地方实际是否相适应。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t>实际到位资金与预算资金的比率，用以反映和考核资金落实情况对项目实施的总体保障程度。</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资金到位率=（实际到位资金/预算资金）×100%。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实际到位资金：一定时期（本年度或项目期）内落实到具体项目的资金。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预算资金：一定时期（本年度或项目期）内预算安排到具体项目的资金。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项目预算资金是否按照计划执行，用以反映或考核项目预算执行情况。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预算执行率=（实际支出资金/实际到位资金）×100%。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实际支出资金：一定时期（本年度或项目期）内项目实际拨付的资金。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资金使用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项目资金使用是否符合相关的财务管理制度规定，用以反映和考核项目资金的规范运行情况。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①是否符合国家财经法规和财务管理制度以及有关专项资金管理办法的规定；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②资金的拨付是否有完整的审批程序和手续；</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③是否符合项目预算批复或合同规定的用途；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④是否存在截留、挤占、挪用、虚列支出等情况。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t>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项目实施单位的财务和业务管理制度是否健全，用以反映和考核财务和业务管理制度对项目顺利实施的保障情况。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①是否已制定或具有相应的财务和业务管理制度；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②财务和业务管理制度是否合法、合规、完整。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制度执行</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项目实施是否符合相关管理规定，用以反映和考核相关管理制度的有效执行情况。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①是否遵守相关法律法规和相关管理规定；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②项目调整及支出调整手续是否完备；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③项目合同书、验收报告、技术鉴定等资料是否齐全并及时归档；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④项目实施的人员条件、场地设备、信息支撑等是否落实到位。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t>校园绿化面积</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项目实施的实际产出数与计划产出数的比率，用以反映和考核项目产出数量目标的实现程度。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t>实际完成率=（实际产出数/计划产出数）×100%。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实际产出数：一定时期（本年度或项目期）内项目实际产出的产品或提供的服务数量。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计划产出数：项目绩效目标确定的在一定时期（本年度或项目期）内计划产出的产品或提供的服务数量。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水、电、气、暖等管网维修次数</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消防、环保等设施改造新增设施数量</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新增图书数量</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教师培训人次</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t>图书借阅率（%）</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项目完成的质量达标产出数与实际产出数的比率，用以反映和考核项目产出质量目标的实现程度。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t>质量达标率=（质量达标产出数/实际产出数）×100%。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维修验收合格率（%</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校园绿地率（%</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t>继续教育完成率</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项目实际完成时间与计划完成时间的比较，用以反映和考核项目产出时效目标的实现程度。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t>实际完成时间：项目实施单位完成该项目实际所耗用的时间。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计划完成时间：按照项目实施计划或相关规定完成该项目所需的时间。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t>电话网络月租费</w:t>
      </w:r>
      <w:r>
        <w:rPr>
          <w:rStyle w:val="18"/>
          <w:rFonts w:hint="eastAsia" w:ascii="楷体" w:hAnsi="楷体" w:eastAsia="楷体"/>
          <w:b w:val="0"/>
          <w:bCs w:val="0"/>
          <w:color w:val="000000" w:themeColor="text1"/>
          <w:spacing w:val="-4"/>
          <w:sz w:val="32"/>
          <w:szCs w:val="32"/>
          <w14:textFill>
            <w14:solidFill>
              <w14:schemeClr w14:val="tx1"/>
            </w14:solidFill>
          </w14:textFill>
        </w:rPr>
        <w:tab/>
        <w:t>完成项目计划工作目标的实际节约成本与计划成本的比率，用以反映和考核项目的成本节约程度。</w:t>
      </w:r>
      <w:r>
        <w:rPr>
          <w:rStyle w:val="18"/>
          <w:rFonts w:hint="eastAsia" w:ascii="楷体" w:hAnsi="楷体" w:eastAsia="楷体"/>
          <w:b w:val="0"/>
          <w:bCs w:val="0"/>
          <w:color w:val="000000" w:themeColor="text1"/>
          <w:spacing w:val="-4"/>
          <w:sz w:val="32"/>
          <w:szCs w:val="32"/>
          <w14:textFill>
            <w14:solidFill>
              <w14:schemeClr w14:val="tx1"/>
            </w14:solidFill>
          </w14:textFill>
        </w:rPr>
        <w:tab/>
        <w:t>成本节约率=[（计划成本-实际成本）/计划成本]×100%。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实际成本：项目实施单位如期、保质、保量完成既定工作目标实际所耗费的支出。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计划成本：项目实施单位为完成工作目标计划安排的支出，一般以项目预算为参考。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校园绿化费用</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t>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tab/>
        <w:t>改善广大师生的生活设施</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项目实施所产生的效益。</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项目实施所产生的社会效益、经济效益、生态效益、可持续影响等。可根据项目实际情况有选择地设置和细化。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tab/>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t>学生满意度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t>社会公众或服务对象对项目实施效果的满意程度。</w:t>
      </w:r>
      <w:r>
        <w:rPr>
          <w:rStyle w:val="18"/>
          <w:rFonts w:hint="eastAsia" w:ascii="楷体" w:hAnsi="楷体" w:eastAsia="楷体"/>
          <w:b w:val="0"/>
          <w:bCs w:val="0"/>
          <w:color w:val="000000" w:themeColor="text1"/>
          <w:spacing w:val="-4"/>
          <w:sz w:val="32"/>
          <w:szCs w:val="32"/>
          <w14:textFill>
            <w14:solidFill>
              <w14:schemeClr w14:val="tx1"/>
            </w14:solidFill>
          </w14:textFill>
        </w:rPr>
        <w:tab/>
        <w:t>社会公众或服务对象是指因该项目实施而受到影响的部门（单位）、群体或个人。一般采取社会调查的方式。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（1）成本效益分析法。是指将投入与产出、效益进行关联性分析的方法。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（2）比较法。是指将实施情况与绩效目标、历史情况、不同部门和地区同类支出情况进行比较的方法。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（3）因素分析法。是指综合分析影响绩效目标实现、实施效果的内外部因素的方法。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（4）最低成本法。是指在绩效目标确定的前提下，成本最小者为优的方法。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（5）公众评判法。是指通过专家评估、公众问卷及抽样调查等方式进行评判的方法。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（6）标杆管理法。是指以国内外同行业中较高的绩效水平为标杆进行评判的方法。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（7）其他评价方法。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本项目（公用经费（5%教师培训费-初中）乌财科教【2022】67号、75号-关于提前下达2023年自治区教育直达资金预算的通知）的特点，本次评价主要采用成本效益分析法和比较法，对项目总预算和明细预算的内容、标准、计划是否经济合理进行深入分析，以考察实际产出和效益是否达到预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绩效评价标准主要包括计划标准、行业标准、历史标准等，用于对绩效指标完成情况进行比较。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（1）计划标准。指以预先制定的目标、计划、预算、定额等作为评价标准。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（2）行业标准。指参照国家公布的行业指标数据制定的评价标准。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在上述评价标准的基础上，本次评价依据以下文件为重要指导和准绳：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·《中共中央国务院关于全面实施预算绩效管理的意见》（中发〔2018〕34号）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·《关于印发&lt;乌鲁木齐市本级部门预算绩效目标管理暂行办法&gt;的通知》（乌财预〔2018〕56号）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·《关于做好2019年部门预算项目支出绩效目标管理有关事宜的通知》（乌财预〔2018〕76号）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·《项目支出绩效评价管理办法》（财预〔2020〕10号）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公用经费（初中）乌财科教【2022】75号--关于提前下达2023年城乡义务教育补助经费预算的通知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公用经费（5%教师培训费-初中）乌财科教【2022】75号--关于提前下达2023年城乡义务教育补助经费预算的通知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公用经费（初中）乌财科教【2022】67号-关于提前下达2023年自治区教育直达资金预算的通知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公用经费（初中）乌财科教【2022】67号-关于提前下达2023年自治区教育直达资金预算的通知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公用经费（初中）乌财科教【2022】67号--关于提前下达2023年城乡义务教育补助经费预算的通知</w:t>
      </w:r>
    </w:p>
    <w:p w14:paraId="2ED6ECBD">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0644D6D2">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（三）绩效评价工作过程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702BFB2D">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三、综合评价情况及评价结论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结合项目特点，制定符合项目实际的绩效评价指标体系及评分标准，通过数据采集、问卷调查及访谈等形式，对2023年公用经费（5%教师培训费-初中）乌财科教【2022】67号、75号-关于提前下达2023年自治区教育直达资金预算的通知项目进行客观评价，最终评分结果为：总分为92.34分，绩效评级为“优”[本次绩效评价结果实施百分制和四级分类，其中90（含）-100分为优、80（含）-90分为良、70（含）-80分为中、70分以下为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项目各部分权重和绩效分值如表3-1所示：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表3-1 项目各部分权重和绩效分值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分值</w:t>
      </w:r>
      <w:r>
        <w:rPr>
          <w:rStyle w:val="18"/>
          <w:rFonts w:hint="eastAsia" w:ascii="楷体" w:hAnsi="楷体" w:eastAsia="楷体"/>
          <w:b w:val="0"/>
          <w:bCs w:val="0"/>
          <w:color w:val="000000" w:themeColor="text1"/>
          <w:spacing w:val="-4"/>
          <w:sz w:val="32"/>
          <w:szCs w:val="32"/>
          <w14:textFill>
            <w14:solidFill>
              <w14:schemeClr w14:val="tx1"/>
            </w14:solidFill>
          </w14:textFill>
        </w:rPr>
        <w:tab/>
        <w:t>得分</w:t>
      </w:r>
      <w:r>
        <w:rPr>
          <w:rStyle w:val="18"/>
          <w:rFonts w:hint="eastAsia" w:ascii="楷体" w:hAnsi="楷体" w:eastAsia="楷体"/>
          <w:b w:val="0"/>
          <w:bCs w:val="0"/>
          <w:color w:val="000000" w:themeColor="text1"/>
          <w:spacing w:val="-4"/>
          <w:sz w:val="32"/>
          <w:szCs w:val="32"/>
          <w14:textFill>
            <w14:solidFill>
              <w14:schemeClr w14:val="tx1"/>
            </w14:solidFill>
          </w14:textFill>
        </w:rPr>
        <w:tab/>
        <w:t>得分率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t>立项依据充分性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立项程序规范性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2</w:t>
      </w:r>
      <w:r>
        <w:rPr>
          <w:rStyle w:val="18"/>
          <w:rFonts w:hint="eastAsia" w:ascii="楷体" w:hAnsi="楷体" w:eastAsia="楷体"/>
          <w:b w:val="0"/>
          <w:bCs w:val="0"/>
          <w:color w:val="000000" w:themeColor="text1"/>
          <w:spacing w:val="-4"/>
          <w:sz w:val="32"/>
          <w:szCs w:val="32"/>
          <w14:textFill>
            <w14:solidFill>
              <w14:schemeClr w14:val="tx1"/>
            </w14:solidFill>
          </w14:textFill>
        </w:rPr>
        <w:tab/>
        <w:t>66.7%</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绩效指标明确性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2</w:t>
      </w:r>
      <w:r>
        <w:rPr>
          <w:rStyle w:val="18"/>
          <w:rFonts w:hint="eastAsia" w:ascii="楷体" w:hAnsi="楷体" w:eastAsia="楷体"/>
          <w:b w:val="0"/>
          <w:bCs w:val="0"/>
          <w:color w:val="000000" w:themeColor="text1"/>
          <w:spacing w:val="-4"/>
          <w:sz w:val="32"/>
          <w:szCs w:val="32"/>
          <w14:textFill>
            <w14:solidFill>
              <w14:schemeClr w14:val="tx1"/>
            </w14:solidFill>
          </w14:textFill>
        </w:rPr>
        <w:tab/>
        <w:t>66.7%</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t>预算编制科学性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资金分配合理性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60%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资金使用合规性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t>管理制度健全性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2.5</w:t>
      </w:r>
      <w:r>
        <w:rPr>
          <w:rStyle w:val="18"/>
          <w:rFonts w:hint="eastAsia" w:ascii="楷体" w:hAnsi="楷体" w:eastAsia="楷体"/>
          <w:b w:val="0"/>
          <w:bCs w:val="0"/>
          <w:color w:val="000000" w:themeColor="text1"/>
          <w:spacing w:val="-4"/>
          <w:sz w:val="32"/>
          <w:szCs w:val="32"/>
          <w14:textFill>
            <w14:solidFill>
              <w14:schemeClr w14:val="tx1"/>
            </w14:solidFill>
          </w14:textFill>
        </w:rPr>
        <w:tab/>
        <w:t>83.3%</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制度执行有效性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75%</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t>校园绿化所面积</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教师培训人次</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消防、环保等设施改造新增设施数量</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水、电、气、暖等管网维修次数</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新增图书数量</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t>图书借阅率（%）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3.65</w:t>
      </w:r>
      <w:r>
        <w:rPr>
          <w:rStyle w:val="18"/>
          <w:rFonts w:hint="eastAsia" w:ascii="楷体" w:hAnsi="楷体" w:eastAsia="楷体"/>
          <w:b w:val="0"/>
          <w:bCs w:val="0"/>
          <w:color w:val="000000" w:themeColor="text1"/>
          <w:spacing w:val="-4"/>
          <w:sz w:val="32"/>
          <w:szCs w:val="32"/>
          <w14:textFill>
            <w14:solidFill>
              <w14:schemeClr w14:val="tx1"/>
            </w14:solidFill>
          </w14:textFill>
        </w:rPr>
        <w:tab/>
        <w:t>72.93%</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维修验收合格率（%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校园绿地率（%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t>继续教育完成及时率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电话网络月租费</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2.63</w:t>
      </w:r>
      <w:r>
        <w:rPr>
          <w:rStyle w:val="18"/>
          <w:rFonts w:hint="eastAsia" w:ascii="楷体" w:hAnsi="楷体" w:eastAsia="楷体"/>
          <w:b w:val="0"/>
          <w:bCs w:val="0"/>
          <w:color w:val="000000" w:themeColor="text1"/>
          <w:spacing w:val="-4"/>
          <w:sz w:val="32"/>
          <w:szCs w:val="32"/>
          <w14:textFill>
            <w14:solidFill>
              <w14:schemeClr w14:val="tx1"/>
            </w14:solidFill>
          </w14:textFill>
        </w:rPr>
        <w:tab/>
        <w:t>87.5%</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校园绿化费用</w:t>
      </w:r>
      <w:r>
        <w:rPr>
          <w:rStyle w:val="18"/>
          <w:rFonts w:hint="eastAsia" w:ascii="楷体" w:hAnsi="楷体" w:eastAsia="楷体"/>
          <w:b w:val="0"/>
          <w:bCs w:val="0"/>
          <w:color w:val="000000" w:themeColor="text1"/>
          <w:spacing w:val="-4"/>
          <w:sz w:val="32"/>
          <w:szCs w:val="32"/>
          <w14:textFill>
            <w14:solidFill>
              <w14:schemeClr w14:val="tx1"/>
            </w14:solidFill>
          </w14:textFill>
        </w:rPr>
        <w:tab/>
        <w:t>2</w:t>
      </w:r>
      <w:r>
        <w:rPr>
          <w:rStyle w:val="18"/>
          <w:rFonts w:hint="eastAsia" w:ascii="楷体" w:hAnsi="楷体" w:eastAsia="楷体"/>
          <w:b w:val="0"/>
          <w:bCs w:val="0"/>
          <w:color w:val="000000" w:themeColor="text1"/>
          <w:spacing w:val="-4"/>
          <w:sz w:val="32"/>
          <w:szCs w:val="32"/>
          <w14:textFill>
            <w14:solidFill>
              <w14:schemeClr w14:val="tx1"/>
            </w14:solidFill>
          </w14:textFill>
        </w:rPr>
        <w:tab/>
        <w:t>1.56</w:t>
      </w:r>
      <w:r>
        <w:rPr>
          <w:rStyle w:val="18"/>
          <w:rFonts w:hint="eastAsia" w:ascii="楷体" w:hAnsi="楷体" w:eastAsia="楷体"/>
          <w:b w:val="0"/>
          <w:bCs w:val="0"/>
          <w:color w:val="000000" w:themeColor="text1"/>
          <w:spacing w:val="-4"/>
          <w:sz w:val="32"/>
          <w:szCs w:val="32"/>
          <w14:textFill>
            <w14:solidFill>
              <w14:schemeClr w14:val="tx1"/>
            </w14:solidFill>
          </w14:textFill>
        </w:rPr>
        <w:tab/>
        <w:t>78%</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t>项目效益</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改善广大师生的生活设施</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tab/>
        <w:t>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tab/>
        <w:t>学生满意度</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（二）主要绩效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资金区财政及时拨付，本单位在此次评价期间内，有序完成设定目标的部分工作任务，校园绿化所面积计划数1300平方米，实际完成1300平方米，水、电、气、暖等管网维修次数预计10次，实际完成15次，教师培训人次计划10次，实际完成12人次，消防、环保等设施改造新增设施数量更换率预计为90%，实际完成为100%，该项目的实施有效保证学校的正常运转，为教育教学提供的有效的保障服务，为教职工提供良好的教学环境。</w:t>
      </w:r>
      <w:r>
        <w:rPr>
          <w:rStyle w:val="18"/>
          <w:rFonts w:hint="eastAsia" w:ascii="楷体" w:hAnsi="楷体" w:eastAsia="楷体"/>
          <w:b w:val="0"/>
          <w:bCs w:val="0"/>
          <w:color w:val="000000" w:themeColor="text1"/>
          <w:spacing w:val="-4"/>
          <w:sz w:val="32"/>
          <w:szCs w:val="32"/>
          <w14:textFill>
            <w14:solidFill>
              <w14:schemeClr w14:val="tx1"/>
            </w14:solidFill>
          </w14:textFill>
        </w:rPr>
        <w:cr/>
      </w:r>
    </w:p>
    <w:p w14:paraId="624FD63F">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2BDB141E">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0E9F8597">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（一）项目决策情况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项目决策指标由3个二级指标和6个三级指标构成，权重为20分，实际得分16分。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项目立项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依据充分性：根据乌财科教【2022】75号，【2022】67号关于提前下达2023年城乡义务教育项目直达资金的通知为项目立项依据，符合国家法律法规、政策要求。同时，项目与部门职责范围相符，属于部门履职所需。此外，本项目属于公共财政支持范围，符合中央、地方事权支出责任划分原则，没有与相关部门同类项目或部门内部相关项目重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因此，立项依据充分指标赋分4分，实际得4分。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立项程序规范性:项目按照根据乌财科教【2022】75号，【2022】67号规定的程序申请设立，审批文件、材料符合相关要求，故立项程序规范，得4分。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综上，该指标满分8分，得分8分。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合理性：本项目的绩效目标按照产出、成本、效益和满意度构建绩效评价指标，且具有明确性、可衡量性、可实现性、相关性和时限性等特点，能较为全面地反映本项目的产出和效益，但是由于公用经费在设置目标与实际操作中有许多可变性因素，故绩效目标合理性指标得分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明确性：其中，产出目标已细化为具体的绩效指标教师培训人次、校园绿化、设施设备的维修维护，可通过数量指标、效益指标和满意度指标予以量化，并具有确切的评价标准，且指标设定均与目标相关。各项指标均能在现实条件下收集到相关数据进行佐证：教师培训人次可以通过会计凭证和教务上教师外派单来反映，校园绿化可以进校园实地参观，设备维修护可以通过会计凭证来反映，并与当年项目年度计划相对应，但是由于设备维修指标设置不够精细，执行过程可量化材料无法体现，故绩效目标明确性指标得分2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资金投入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编制科学性：公用经费--提前下达2023年义务教育直达资金的通知。文件要求义务教育学校根据在校学生数初中每生每年公用经费为850元/人/年，其中中央占比为80%，地方资金占比为20%，地方资金中自治区资金占比为30%，市本级资金占比为70%。故预算编制科学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分配合理性：公用经费--根据乌财科教【2022】75号，【2022】67号关于提前下达2023年城乡义务教育项目直达资金的通知；米东区教育根据乌财科教【2022】75号，【2022】67号文件中的资金分配表，分配出辖区内各单位应占有的资金而设立项目。故资金分配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14:paraId="18D4984C">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2EE3560E">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（二）项目过程情况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项目过程指标由2个二级指标和5个三级指标构成，权重为20分，实际得分17.38分。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资金管理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资金到位率：本项目全年预算59.3万元，2023年实际到位资金45.97万元，资金到位率77.52%。</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故资金到位率指标赋分5分，指标实际得分3.88分。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预算执行率：2023年实际到位资金45.97万元，2023年10月支付资金45.97万元，预算执行率100%。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故预算执行率指标赋分5分，指标实际得分5分。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性：本项目资金的使用符合我校的项目管理制度和财务管理制度以及经费支出管理内部控制制度。同时，资金的拨付按照米东区财政局、教育局审批程序和要求，根据教育系统报账会计工作规则，对符合项目预算批复或合同规定用途的资金，不存在截留、挤占、挪用、虚列支出等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故预算执行率指标赋分3分，指标实际得分3分。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管理制度健全性：乌鲁木齐市第99中学的资金是由米东区教育局核算监管的，单位只设有报账员没有会计，所有资金支付都上报教育，由核算中心会计审核通过后进行实施。程序合法、合规、完整，为项目顺利实施提供重要保障。故管理制度健全性指标赋分3分，指标实际得分2.5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制度执行有效性：根据评价小组核查情况，乌鲁木齐市第99中学严格遵守相关法律法规和米教发【2019】58号，46号文件的规定，项目调整及支出调整手续完备，整体管理合理有序，项目完成后，及时将会计凭证，制度执行有效。但是由于是教育局监管执行，有时效性差异，故制度执行有效性指标指标赋分4分，指标实际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综上，该指标满分7分，得分5.5分。</w:t>
      </w:r>
    </w:p>
    <w:p w14:paraId="626924A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76AF5AF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（三）项目产出情况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项目产出指标由4个二级指标和11个三级指标构成，权重为50分，实际得分45.84分。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数量指标“教师培训人次”的目标值是10人次，2023年度我单位实际完成12人次，实际完成率为120%；原因是教育局组织了班主任培训、安全管理员培训，和“国培计划”信息技术2.0的培训，加大了教师的培训力度。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数量指标“校园绿化面积”的目标值是1300平方米，2023年度我单位完成了1300平方米的绿化面积；实际完成率为100%。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数量指标“消防、环保等设施改造新增设施数量”的目标值是90%，实际完成值为100%，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数量指标“水、电、气、暖等管网维修次”的目标值是10次，实际2023年度我单位实际完成15次，因响应国家的环保要求，学校2023年将燃煤锅进行了改造，安装使用了燃气锅炉。实际完成率为150%。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数量指标“新增图书数量”目标值是100册，实际完成值是223册，为了提高教师教育教学水平，和党政法规的学习需要，加大投入力度。实际完成率达到了223%。</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图书借阅率：目标值为≥90%，实际完成值为72.93%，质量完成率为81.03%。现在受电子设备的影响，大部学生都不愿意阅读纸制版书籍了，使图书借阅量减少，故实际完成值比预期值偏低。</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维修验收合格率（%）：质量达标产出数为100%，实际产出数为100%，质量达标率为100%。故维修验收合格率达标率为100%。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校园绿化率（%）：质量达标产出数为100%，实际产出数为100%，质量达标率为100%。故校园绿化率的达标率为100%。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电话网络月租费：目标值是&lt;=1000元/月，本项目实际支出 875 元/月，完成率 87.5%，节约成本，很好的完成目标，无超支情况。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故电话网络月租费指标赋分 3 分，实际得分为2.63 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校园绿化费用：本项目目标值是&lt;=5000元/月，实际支出 3900 元，无超支情况，项目资金完成率78%，管理到位，节成本。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继续教育完成率：本项目目标值是2023年12月底六五周期继续教育培训全员完成，实际值是在2023年10月前就已经完成了六五周期继续教育培训，项目完成率100%，教研积极组织督导，使每位教师都顺利、及时的完成了继续教育培训内容，并全员通过了审核。</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综上，该产出指标满分50分，实际得分45.84分。</w:t>
      </w:r>
    </w:p>
    <w:p w14:paraId="404219E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5CE8270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（四）项目效益情况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项目效益指标由1个二级指标和1个三级指标构成，权重为5分，实际得分5分。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经济效益指标：不适用。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社会效益指标：评价指标“改善广大师生的生活设施”，指标值：有效改善，实际完成值：完全达到预期。本项目的实施按评判等级赋分，我单位在2023年度积极鼓励教师参加小课题研究，以研促教，完成信息技术2.0培训41人，参与率、学习完成率达到100%；三是鼓励教师走出去，外出学习培训39人次，参加“国培”1人，做学习分享2场，校本培训活动2次，外派教师赴疆内疆外学习培训13人次，提升教师的专业技术能力和班主任管理能力。参加市级及以上的教科研培训活动35人。总务处多措并举做实事 增强师生获得感和幸福感，以服务为宗旨，努力做好各项工作，保障了师生的正常的学习生活。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 xml:space="preserve">    生态效益指标：不适用。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综上，该指标满分5分，得分5分。</w:t>
      </w:r>
    </w:p>
    <w:p w14:paraId="57FD828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2. 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学生满意度：评价指标“学生满意度”，指标目标值：≥85%，实际完成值为85%；完成率为100%。共计调查样本总量为100个样本，线上有效调查问卷40份。其中，统计“满意”的平均值为34份，一般的为6份，故得出满意率为85%。故满意度指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综上，该指标满分5分，得分5 分。</w:t>
      </w:r>
    </w:p>
    <w:p w14:paraId="3385D9A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14:paraId="75C28D8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五、主要经验及做法、存在的问题及原因分析</w:t>
      </w:r>
    </w:p>
    <w:p w14:paraId="43BCB296">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五、主要经验及做法、存在的问题及原因分析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1.按照既定的决策内容，绩效目标和管理制度执行，在规定的时间内完成项目阶段目标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2、项目资金及时拨付到位，资金使用规范。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3、项目有组织保障和专人负责，按规定投标或政府采购，有项目实施管理办法和专项资金管理办法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4、项目实施过程中发现的问题能及时调整。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 公用经费这个项目重点是维护学校正常的教育秩序，保障良好的教学环境，涉及内容琐碎，在执行过程中我们对项目资金的用途先做大方向的把控，具体实施过程中再细化，以紧急性原则和必须性原则相结合，力争每一笔资金都花在“刀刃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（二）存在的问题及原因分析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1.学校规范化管理还需进一步加强，制度有待进一步完善。领导班子需进一步加强理论学习，多角度多侧面思考问题，多调研，多动脑，力求把各方面的工作做得更细致，以满足广大教职工的需求。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2.是学校领导及项目负责人对项目的认知度有待提高，不能合理有效的制定出资金使用规划。</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3.新型管理理念和工作方法还有待提高，对学校的发展缺少全局性、有效性的规划。</w:t>
      </w:r>
    </w:p>
    <w:p w14:paraId="391BFB0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六、有关建议</w:t>
      </w:r>
    </w:p>
    <w:p w14:paraId="017A5A3F">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六、有关建议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1、进一步完善预算编制，紧密与预算执行联系起来，单位要高度重视预算的编制与执行，把预算细化到部门内部，精细化作好预算的评估和可行性评估。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2、多开展一些项目绩效培训，并要求单位负责人参加，强化项目绩效认知度，有利于项目绩效工作的开展和监管。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加强资金支付管理，对基本支出按年度均衡性原则结合实际情况按进度执行，项目资金结合项目执行进度情况按需要执行支付，同时做好项目支出执行计划，既保证预算资金按时支付，又符合资金管理各项制度。</w:t>
      </w:r>
    </w:p>
    <w:p w14:paraId="4DE4CB6C">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七、其他需要说明的问题</w:t>
      </w:r>
    </w:p>
    <w:p w14:paraId="5D5CD257">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七、其他需要说明的问题</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（一）项目支出政策和路径设计科学，符合实际需要；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（二）项目安排准确，未发现背离项目立项初衷的情况；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（三）项目的申报、审核机制完善；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（四）未发现虚假行为和骗取财政资金的问题。</w:t>
      </w:r>
    </w:p>
    <w:p w14:paraId="4CFE2C52">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4DF7220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1CE1310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06227BCA">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73F3A83B">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5D63599"/>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35</Pages>
  <Words>11622</Words>
  <Characters>12267</Characters>
  <Lines>4</Lines>
  <Paragraphs>1</Paragraphs>
  <TotalTime>12</TotalTime>
  <ScaleCrop>false</ScaleCrop>
  <LinksUpToDate>false</LinksUpToDate>
  <CharactersWithSpaces>12559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2024-10-12T04:06:01Z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